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8981" w14:textId="0E4FC2DE" w:rsidR="00874525" w:rsidRDefault="00874525" w:rsidP="00273384">
      <w:pPr>
        <w:jc w:val="both"/>
      </w:pPr>
    </w:p>
    <w:p w14:paraId="636E2255" w14:textId="77777777" w:rsidR="00EF3DFF" w:rsidRDefault="00EF3DFF" w:rsidP="00D603B9">
      <w:pPr>
        <w:jc w:val="both"/>
      </w:pPr>
    </w:p>
    <w:p w14:paraId="4E9C055E" w14:textId="69E342DC" w:rsidR="00FD6ABB" w:rsidRDefault="004352B2" w:rsidP="00D603B9">
      <w:pPr>
        <w:widowControl w:val="0"/>
        <w:jc w:val="both"/>
        <w:rPr>
          <w:b/>
          <w:bCs/>
          <w:snapToGrid w:val="0"/>
        </w:rPr>
      </w:pPr>
      <w:r>
        <w:rPr>
          <w:b/>
          <w:bCs/>
          <w:snapToGrid w:val="0"/>
        </w:rPr>
        <w:t>Návrh na změnu ÚPO spočívají</w:t>
      </w:r>
      <w:r w:rsidR="00F84064">
        <w:rPr>
          <w:b/>
          <w:bCs/>
          <w:snapToGrid w:val="0"/>
        </w:rPr>
        <w:t>c</w:t>
      </w:r>
      <w:r>
        <w:rPr>
          <w:b/>
          <w:bCs/>
          <w:snapToGrid w:val="0"/>
        </w:rPr>
        <w:t>í v dopravním propojení ulic Božetěchova a Šolcova</w:t>
      </w:r>
    </w:p>
    <w:p w14:paraId="067BCC0C" w14:textId="77777777" w:rsidR="003623F8" w:rsidRDefault="003623F8" w:rsidP="00D603B9">
      <w:pPr>
        <w:widowControl w:val="0"/>
        <w:jc w:val="both"/>
        <w:rPr>
          <w:snapToGrid w:val="0"/>
        </w:rPr>
      </w:pPr>
    </w:p>
    <w:p w14:paraId="5F86C8BA" w14:textId="148BF541" w:rsidR="00F84064" w:rsidRDefault="00F84064" w:rsidP="00D603B9">
      <w:pPr>
        <w:jc w:val="both"/>
      </w:pPr>
      <w:r>
        <w:t xml:space="preserve">Komise výstavby dopravy a ekologie </w:t>
      </w:r>
      <w:proofErr w:type="spellStart"/>
      <w:r>
        <w:t>RMOb</w:t>
      </w:r>
      <w:proofErr w:type="spellEnd"/>
      <w:r>
        <w:t xml:space="preserve"> Hrabová pod vedením Ing. Jiřího Skalského navrhuje v územním plánu vytvořit novou místní komunikaci III. třídy (ve smyslu zákona č.13/1997 Sb. a vyhlášky č.104/1997 Sb.) mezi koncem slepé ulice Šolcovy a ulicí Božetěchovou v místě, kde v minulosti místní komunikace IV. třídy již byla.</w:t>
      </w:r>
    </w:p>
    <w:p w14:paraId="50CF7BA2" w14:textId="77777777" w:rsidR="00F84064" w:rsidRDefault="00F84064" w:rsidP="00D603B9">
      <w:pPr>
        <w:jc w:val="both"/>
      </w:pPr>
    </w:p>
    <w:p w14:paraId="42C6DD8D" w14:textId="53C7525E" w:rsidR="00F84064" w:rsidRPr="00F84064" w:rsidRDefault="00F84064" w:rsidP="00D603B9">
      <w:pPr>
        <w:jc w:val="both"/>
        <w:rPr>
          <w:b/>
          <w:bCs/>
        </w:rPr>
      </w:pPr>
      <w:r w:rsidRPr="00F84064">
        <w:rPr>
          <w:b/>
          <w:bCs/>
        </w:rPr>
        <w:t>Zdůvodnění</w:t>
      </w:r>
      <w:r>
        <w:rPr>
          <w:b/>
          <w:bCs/>
        </w:rPr>
        <w:t xml:space="preserve"> – návrh Ing. Jiřího Skalského</w:t>
      </w:r>
      <w:r w:rsidRPr="00F84064">
        <w:rPr>
          <w:b/>
          <w:bCs/>
        </w:rPr>
        <w:t>:</w:t>
      </w:r>
    </w:p>
    <w:p w14:paraId="622E530C" w14:textId="77777777" w:rsidR="00F84064" w:rsidRDefault="00F84064" w:rsidP="00F84064">
      <w:pPr>
        <w:spacing w:line="276" w:lineRule="auto"/>
        <w:jc w:val="both"/>
      </w:pPr>
    </w:p>
    <w:p w14:paraId="535A8791" w14:textId="1D4FEDE3" w:rsidR="00F84064" w:rsidRDefault="00F84064" w:rsidP="007D5BA8">
      <w:pPr>
        <w:suppressAutoHyphens/>
        <w:jc w:val="both"/>
      </w:pPr>
      <w:r>
        <w:t xml:space="preserve">„RD manželů Stiborových na parcele 1011/2 a okolní pozemek p.č.1011/1 nemá žádnou oficiální příjezdovou komunikaci a </w:t>
      </w:r>
      <w:proofErr w:type="gramStart"/>
      <w:r>
        <w:t>leží</w:t>
      </w:r>
      <w:proofErr w:type="gramEnd"/>
      <w:r>
        <w:t xml:space="preserve"> uprostřed mezi soukromými pozemky jednotlivých vlastníků okolních parcel a parcelou 2558/2 ve správě </w:t>
      </w:r>
      <w:proofErr w:type="spellStart"/>
      <w:r>
        <w:t>MOb</w:t>
      </w:r>
      <w:proofErr w:type="spellEnd"/>
      <w:r>
        <w:t xml:space="preserve"> Hrabová, která je ale příliš úzká na vybudování místní komunikace.  Úředně přidělená adresa tohoto RD je Na </w:t>
      </w:r>
      <w:proofErr w:type="spellStart"/>
      <w:r>
        <w:t>Ščučím</w:t>
      </w:r>
      <w:proofErr w:type="spellEnd"/>
      <w:r>
        <w:t xml:space="preserve"> 502/29, což samo o sobě dokládá, </w:t>
      </w:r>
      <w:r>
        <w:br/>
        <w:t xml:space="preserve">že v minulosti byla místní komunikace kolem tohoto domu propojena přes ulici Božetěchovu na ulici </w:t>
      </w:r>
      <w:r>
        <w:br/>
        <w:t xml:space="preserve">Na </w:t>
      </w:r>
      <w:proofErr w:type="spellStart"/>
      <w:r>
        <w:t>Ščučím</w:t>
      </w:r>
      <w:proofErr w:type="spellEnd"/>
      <w:r>
        <w:t xml:space="preserve">, která dnes </w:t>
      </w:r>
      <w:proofErr w:type="gramStart"/>
      <w:r>
        <w:t>končí</w:t>
      </w:r>
      <w:proofErr w:type="gramEnd"/>
      <w:r>
        <w:t xml:space="preserve"> právě na Božetěchově ulici a dále k RD na parcele 1011/2 již nepokračuje. Pokud nedojde k dohodě s vlastníkem pozemku </w:t>
      </w:r>
      <w:proofErr w:type="spellStart"/>
      <w:r>
        <w:t>p.č</w:t>
      </w:r>
      <w:proofErr w:type="spellEnd"/>
      <w:r>
        <w:t xml:space="preserve">. 1008/1, na kterém se již několik desítek let nachází neoficiální příjezdová komunikace k jejich RD, máme zato, že v tomto případě bychom měli postupovat podle §1095 Občanského zákoníku – mimořádné vydržení vlastnického práva.  </w:t>
      </w:r>
    </w:p>
    <w:p w14:paraId="530FB877" w14:textId="1469B83A" w:rsidR="00F84064" w:rsidRDefault="00F84064" w:rsidP="007D5BA8">
      <w:pPr>
        <w:suppressAutoHyphens/>
        <w:jc w:val="both"/>
      </w:pPr>
      <w:r>
        <w:t xml:space="preserve"> Na ulici Šolcova je v tomto okamžiku 21 resp. 22 RD, pro které je tato komunikace jedinou příjezdovou cestou. Komunikace je tak úzká, že se na ní osobní vozidla minou jen za cenu jízdy po úzkém travnatém pásu za zvýšeným obrubníkem. V okamžiku jakékoli havárie na inženýrských sítích či zablokováni např. nepojízdným vozidlem se k těmto 21 RD nedostanou vozidla integrovaného záchranného systému </w:t>
      </w:r>
      <w:r>
        <w:br/>
        <w:t xml:space="preserve">a naopak, z garáží, či parkovacích míst u 22 RD není možné vyjet osobním vozidlem. Takováto situace již několikrát nastala a například při havárii vodovodního řadu na začátku ulice Šolcova byly všechny tyto RD zcela dopravně odříznuty od Paskovské ulice.  Domníváme se proto, že v tomto úseku je také třeba vybudovat místní komunikaci </w:t>
      </w:r>
      <w:proofErr w:type="spellStart"/>
      <w:r>
        <w:t>III.třídy</w:t>
      </w:r>
      <w:proofErr w:type="spellEnd"/>
      <w:r>
        <w:t xml:space="preserve"> a zajistit tak bezpečný příjezd k výše uvedené skupině RD i z druhé strany od ulice Božetěchovy.“</w:t>
      </w:r>
    </w:p>
    <w:p w14:paraId="5C8B5B8F" w14:textId="77777777" w:rsidR="00F728E0" w:rsidRDefault="00F728E0" w:rsidP="007D5BA8">
      <w:pPr>
        <w:widowControl w:val="0"/>
        <w:jc w:val="both"/>
        <w:rPr>
          <w:snapToGrid w:val="0"/>
        </w:rPr>
      </w:pPr>
    </w:p>
    <w:p w14:paraId="011EF3EE" w14:textId="1F3D7978" w:rsidR="00EF3DFF" w:rsidRDefault="007F32E6" w:rsidP="007D5BA8">
      <w:pPr>
        <w:jc w:val="both"/>
        <w:rPr>
          <w:snapToGrid w:val="0"/>
        </w:rPr>
      </w:pPr>
      <w:r>
        <w:rPr>
          <w:snapToGrid w:val="0"/>
        </w:rPr>
        <w:t xml:space="preserve">Na leteckém snímku z r. 1998 v příloze k tomuto materiálu je patrná existence zpevněné komunikace v šířce jednoho jízdního pruhu. V roce 2000 si majitelka pozemku </w:t>
      </w:r>
      <w:proofErr w:type="spellStart"/>
      <w:r>
        <w:rPr>
          <w:snapToGrid w:val="0"/>
        </w:rPr>
        <w:t>parc.č</w:t>
      </w:r>
      <w:proofErr w:type="spellEnd"/>
      <w:r>
        <w:rPr>
          <w:snapToGrid w:val="0"/>
        </w:rPr>
        <w:t xml:space="preserve">. 1025/1 MUDr. Věra </w:t>
      </w:r>
      <w:proofErr w:type="spellStart"/>
      <w:r>
        <w:rPr>
          <w:snapToGrid w:val="0"/>
        </w:rPr>
        <w:t>Knoll</w:t>
      </w:r>
      <w:proofErr w:type="spellEnd"/>
      <w:r>
        <w:rPr>
          <w:snapToGrid w:val="0"/>
        </w:rPr>
        <w:t xml:space="preserve"> „vydobyla“</w:t>
      </w:r>
      <w:r w:rsidR="00CE5682">
        <w:rPr>
          <w:snapToGrid w:val="0"/>
        </w:rPr>
        <w:t xml:space="preserve"> </w:t>
      </w:r>
      <w:r>
        <w:rPr>
          <w:snapToGrid w:val="0"/>
        </w:rPr>
        <w:t xml:space="preserve">stavbu oplocení tak, že podél potoka </w:t>
      </w:r>
      <w:proofErr w:type="spellStart"/>
      <w:r>
        <w:rPr>
          <w:snapToGrid w:val="0"/>
        </w:rPr>
        <w:t>Ščučí</w:t>
      </w:r>
      <w:proofErr w:type="spellEnd"/>
      <w:r>
        <w:rPr>
          <w:snapToGrid w:val="0"/>
        </w:rPr>
        <w:t xml:space="preserve"> zůstala jen pěšina pro chodce a cyklisty, </w:t>
      </w:r>
      <w:r>
        <w:rPr>
          <w:snapToGrid w:val="0"/>
        </w:rPr>
        <w:br/>
        <w:t>a to od ul. Božetěchova k rod. domu č.p. 502/29.</w:t>
      </w:r>
    </w:p>
    <w:p w14:paraId="572A1EAF" w14:textId="77777777" w:rsidR="007D5BA8" w:rsidRDefault="007D5BA8" w:rsidP="007D5BA8">
      <w:pPr>
        <w:jc w:val="both"/>
        <w:rPr>
          <w:snapToGrid w:val="0"/>
        </w:rPr>
      </w:pPr>
    </w:p>
    <w:p w14:paraId="2F720804" w14:textId="016BD332" w:rsidR="007D5BA8" w:rsidRDefault="007D5BA8" w:rsidP="007D5BA8">
      <w:pPr>
        <w:jc w:val="both"/>
        <w:rPr>
          <w:snapToGrid w:val="0"/>
        </w:rPr>
      </w:pPr>
      <w:r>
        <w:rPr>
          <w:snapToGrid w:val="0"/>
        </w:rPr>
        <w:t>Jelikož se doposud nepodařilo s vlastníky pozemků dojednat umožnění realizace dostatečně kapacitní komunikace, bude možným řešením zajistit, aby se komunikace dostala do seznamu veřejně prospěšných staveb v Územním plánu Ostravy.</w:t>
      </w:r>
    </w:p>
    <w:p w14:paraId="7F64C6FA" w14:textId="77777777" w:rsidR="004646E0" w:rsidRDefault="004646E0" w:rsidP="007D5BA8">
      <w:pPr>
        <w:jc w:val="both"/>
        <w:rPr>
          <w:snapToGrid w:val="0"/>
        </w:rPr>
      </w:pPr>
    </w:p>
    <w:p w14:paraId="1D244DEB" w14:textId="20A97E9C" w:rsidR="004646E0" w:rsidRPr="00273384" w:rsidRDefault="004646E0" w:rsidP="007D5BA8">
      <w:pPr>
        <w:jc w:val="both"/>
      </w:pPr>
      <w:r>
        <w:rPr>
          <w:snapToGrid w:val="0"/>
        </w:rPr>
        <w:t xml:space="preserve">Rada </w:t>
      </w:r>
      <w:proofErr w:type="spellStart"/>
      <w:r>
        <w:rPr>
          <w:snapToGrid w:val="0"/>
        </w:rPr>
        <w:t>MOb</w:t>
      </w:r>
      <w:proofErr w:type="spellEnd"/>
      <w:r>
        <w:rPr>
          <w:snapToGrid w:val="0"/>
        </w:rPr>
        <w:t xml:space="preserve"> Hrabová s návrhem na změnu územního plánu souhlasila usnesením č. 834/</w:t>
      </w:r>
      <w:proofErr w:type="spellStart"/>
      <w:r>
        <w:rPr>
          <w:snapToGrid w:val="0"/>
        </w:rPr>
        <w:t>RMOb</w:t>
      </w:r>
      <w:proofErr w:type="spellEnd"/>
      <w:r>
        <w:rPr>
          <w:snapToGrid w:val="0"/>
        </w:rPr>
        <w:t>-Hra/2226/49 ze dne 6.5.2024.</w:t>
      </w:r>
    </w:p>
    <w:sectPr w:rsidR="004646E0" w:rsidRPr="00273384" w:rsidSect="004F7073">
      <w:headerReference w:type="even" r:id="rId7"/>
      <w:headerReference w:type="default" r:id="rId8"/>
      <w:footerReference w:type="even" r:id="rId9"/>
      <w:footerReference w:type="default" r:id="rId10"/>
      <w:headerReference w:type="first" r:id="rId11"/>
      <w:footerReference w:type="first" r:id="rId12"/>
      <w:pgSz w:w="11906" w:h="16838" w:code="9"/>
      <w:pgMar w:top="1079" w:right="849" w:bottom="1276"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4797" w14:textId="77777777" w:rsidR="00281F22" w:rsidRDefault="00281F22">
      <w:r>
        <w:separator/>
      </w:r>
    </w:p>
  </w:endnote>
  <w:endnote w:type="continuationSeparator" w:id="0">
    <w:p w14:paraId="02785895" w14:textId="77777777" w:rsidR="00281F22" w:rsidRDefault="0028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2B9" w14:textId="77777777" w:rsidR="0040351E" w:rsidRDefault="0040351E"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13D274C4" w14:textId="77777777" w:rsidR="0040351E" w:rsidRDefault="0040351E"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209" w14:textId="2FED2716" w:rsidR="00C64A27" w:rsidRDefault="007650C4" w:rsidP="00A62CDF">
    <w:pPr>
      <w:pStyle w:val="Zpat"/>
      <w:tabs>
        <w:tab w:val="clear" w:pos="4536"/>
        <w:tab w:val="clear" w:pos="9072"/>
        <w:tab w:val="center" w:pos="1440"/>
        <w:tab w:val="left" w:pos="3060"/>
        <w:tab w:val="left" w:pos="7890"/>
      </w:tabs>
      <w:rPr>
        <w:rStyle w:val="slostrnky"/>
        <w:rFonts w:ascii="Arial" w:hAnsi="Arial" w:cs="Arial"/>
        <w:color w:val="003C69"/>
        <w:sz w:val="16"/>
      </w:rPr>
    </w:pPr>
    <w:r w:rsidRPr="00A47922">
      <w:rPr>
        <w:rStyle w:val="slostrnky"/>
        <w:rFonts w:ascii="Arial" w:hAnsi="Arial" w:cs="Arial"/>
        <w:noProof/>
        <w:color w:val="003C69"/>
        <w:sz w:val="16"/>
      </w:rPr>
      <w:drawing>
        <wp:anchor distT="0" distB="0" distL="114300" distR="114300" simplePos="0" relativeHeight="251657728" behindDoc="1" locked="0" layoutInCell="1" allowOverlap="1" wp14:anchorId="140F74AC" wp14:editId="4E2FBE23">
          <wp:simplePos x="0" y="0"/>
          <wp:positionH relativeFrom="column">
            <wp:posOffset>4917151</wp:posOffset>
          </wp:positionH>
          <wp:positionV relativeFrom="paragraph">
            <wp:posOffset>-42545</wp:posOffset>
          </wp:positionV>
          <wp:extent cx="1497965" cy="349885"/>
          <wp:effectExtent l="0" t="0" r="6985" b="0"/>
          <wp:wrapTight wrapText="bothSides">
            <wp:wrapPolygon edited="0">
              <wp:start x="0" y="0"/>
              <wp:lineTo x="0" y="19993"/>
              <wp:lineTo x="5219" y="19993"/>
              <wp:lineTo x="6593" y="19993"/>
              <wp:lineTo x="15932" y="18817"/>
              <wp:lineTo x="21426" y="10584"/>
              <wp:lineTo x="21426" y="0"/>
              <wp:lineTo x="0" y="0"/>
            </wp:wrapPolygon>
          </wp:wrapTight>
          <wp:docPr id="963451571" name="Obrázek 96345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451571" name="Obrázek 9634515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96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301B8" w14:textId="4C2E0BD6" w:rsidR="00870D4E" w:rsidRDefault="00C64A27" w:rsidP="00C64A27">
    <w:pPr>
      <w:pStyle w:val="Zpat"/>
      <w:tabs>
        <w:tab w:val="clear" w:pos="4536"/>
        <w:tab w:val="clear" w:pos="9072"/>
        <w:tab w:val="center" w:pos="180"/>
        <w:tab w:val="left" w:pos="3060"/>
      </w:tabs>
      <w:ind w:left="-28" w:hanging="539"/>
      <w:rPr>
        <w:rStyle w:val="slostrnky"/>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sidR="00A62CDF">
      <w:rPr>
        <w:rStyle w:val="slostrnky"/>
        <w:rFonts w:ascii="Arial" w:hAnsi="Arial" w:cs="Arial"/>
        <w:noProof/>
        <w:color w:val="003C69"/>
        <w:sz w:val="16"/>
      </w:rPr>
      <w:t>1</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sidR="00A62CDF">
      <w:rPr>
        <w:rStyle w:val="slostrnky"/>
        <w:rFonts w:ascii="Arial" w:hAnsi="Arial" w:cs="Arial"/>
        <w:noProof/>
        <w:color w:val="003C69"/>
        <w:sz w:val="16"/>
      </w:rPr>
      <w:t>1</w:t>
    </w:r>
    <w:r w:rsidRPr="00174097">
      <w:rPr>
        <w:rStyle w:val="slostrnky"/>
        <w:rFonts w:ascii="Arial" w:hAnsi="Arial" w:cs="Arial"/>
        <w:color w:val="003C69"/>
        <w:sz w:val="16"/>
      </w:rPr>
      <w:fldChar w:fldCharType="end"/>
    </w:r>
    <w:r>
      <w:rPr>
        <w:rStyle w:val="slostrnky"/>
        <w:rFonts w:ascii="Arial" w:hAnsi="Arial" w:cs="Arial"/>
        <w:color w:val="003C69"/>
        <w:sz w:val="16"/>
      </w:rPr>
      <w:tab/>
    </w:r>
  </w:p>
  <w:p w14:paraId="6B35D080" w14:textId="0DC3D740" w:rsidR="00AB6EB1" w:rsidRPr="0081070D" w:rsidRDefault="00AB6EB1" w:rsidP="00C64A27">
    <w:pPr>
      <w:pStyle w:val="Zpat"/>
      <w:tabs>
        <w:tab w:val="clear" w:pos="4536"/>
        <w:tab w:val="clear" w:pos="9072"/>
        <w:tab w:val="center" w:pos="180"/>
        <w:tab w:val="left" w:pos="3060"/>
      </w:tabs>
      <w:ind w:left="-28" w:hanging="539"/>
      <w:rPr>
        <w:rStyle w:val="slostrnky"/>
        <w:rFonts w:ascii="Arial" w:hAnsi="Arial" w:cs="Arial"/>
        <w:color w:val="003C6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1B6" w14:textId="77777777" w:rsidR="008633D0" w:rsidRDefault="00863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39B7" w14:textId="77777777" w:rsidR="00281F22" w:rsidRDefault="00281F22">
      <w:r>
        <w:separator/>
      </w:r>
    </w:p>
  </w:footnote>
  <w:footnote w:type="continuationSeparator" w:id="0">
    <w:p w14:paraId="4CB6E6EA" w14:textId="77777777" w:rsidR="00281F22" w:rsidRDefault="0028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C82" w14:textId="77777777" w:rsidR="008633D0" w:rsidRDefault="008633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5"/>
      <w:gridCol w:w="5040"/>
      <w:gridCol w:w="4259"/>
    </w:tblGrid>
    <w:tr w:rsidR="001E6B01" w:rsidRPr="009C4D20" w14:paraId="28A39BBA" w14:textId="77777777" w:rsidTr="008633D0">
      <w:trPr>
        <w:trHeight w:val="782"/>
        <w:tblCellSpacing w:w="15" w:type="dxa"/>
      </w:trPr>
      <w:tc>
        <w:tcPr>
          <w:tcW w:w="358" w:type="pct"/>
          <w:vAlign w:val="center"/>
        </w:tcPr>
        <w:p w14:paraId="3F9D5082" w14:textId="77777777" w:rsidR="001E6B01" w:rsidRPr="009C4D20" w:rsidRDefault="001E6B01" w:rsidP="001E6B01">
          <w:pPr>
            <w:rPr>
              <w:rFonts w:ascii="Arial" w:hAnsi="Arial" w:cs="Arial"/>
              <w:color w:val="003C69"/>
            </w:rPr>
          </w:pPr>
          <w:r w:rsidRPr="009C4D20">
            <w:rPr>
              <w:rFonts w:ascii="Arial" w:hAnsi="Arial" w:cs="Arial"/>
              <w:noProof/>
              <w:color w:val="003C69"/>
            </w:rPr>
            <w:drawing>
              <wp:inline distT="0" distB="0" distL="0" distR="0" wp14:anchorId="279A027E" wp14:editId="6D6F8714">
                <wp:extent cx="361950" cy="446414"/>
                <wp:effectExtent l="0" t="0" r="0" b="0"/>
                <wp:docPr id="208160900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85424" name="Obrázek 197688542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38" cy="460459"/>
                        </a:xfrm>
                        <a:prstGeom prst="rect">
                          <a:avLst/>
                        </a:prstGeom>
                      </pic:spPr>
                    </pic:pic>
                  </a:graphicData>
                </a:graphic>
              </wp:inline>
            </w:drawing>
          </w:r>
        </w:p>
      </w:tc>
      <w:tc>
        <w:tcPr>
          <w:tcW w:w="2489" w:type="pct"/>
          <w:vAlign w:val="center"/>
          <w:hideMark/>
        </w:tcPr>
        <w:p w14:paraId="11266AB0" w14:textId="4F6AA6F3" w:rsidR="001E6B01" w:rsidRPr="009C4D20" w:rsidRDefault="001E6B01" w:rsidP="009015F7">
          <w:pPr>
            <w:rPr>
              <w:rFonts w:ascii="Arial" w:hAnsi="Arial" w:cs="Arial"/>
              <w:color w:val="003C69"/>
            </w:rPr>
          </w:pPr>
          <w:r w:rsidRPr="009C4D20">
            <w:rPr>
              <w:rFonts w:ascii="Arial" w:hAnsi="Arial" w:cs="Arial"/>
              <w:color w:val="003C69"/>
            </w:rPr>
            <w:t>Statutární město Ostrava</w:t>
          </w:r>
        </w:p>
        <w:p w14:paraId="3B40FC24" w14:textId="6930AC5F" w:rsidR="001E6B01" w:rsidRPr="009015F7" w:rsidRDefault="009015F7" w:rsidP="009015F7">
          <w:pPr>
            <w:rPr>
              <w:rFonts w:ascii="Arial" w:hAnsi="Arial" w:cs="Arial"/>
              <w:b/>
              <w:bCs/>
              <w:color w:val="003C69"/>
            </w:rPr>
          </w:pPr>
          <w:r>
            <w:rPr>
              <w:rFonts w:ascii="Arial" w:hAnsi="Arial" w:cs="Arial"/>
              <w:b/>
              <w:bCs/>
              <w:color w:val="003C69"/>
            </w:rPr>
            <w:t xml:space="preserve">Úřad </w:t>
          </w:r>
          <w:r w:rsidR="00CB5645">
            <w:rPr>
              <w:rFonts w:ascii="Arial" w:hAnsi="Arial" w:cs="Arial"/>
              <w:b/>
              <w:bCs/>
              <w:color w:val="003C69"/>
            </w:rPr>
            <w:t>m</w:t>
          </w:r>
          <w:r w:rsidR="001E6B01" w:rsidRPr="009C4D20">
            <w:rPr>
              <w:rFonts w:ascii="Arial" w:hAnsi="Arial" w:cs="Arial"/>
              <w:b/>
              <w:bCs/>
              <w:color w:val="003C69"/>
            </w:rPr>
            <w:t>ěstsk</w:t>
          </w:r>
          <w:r>
            <w:rPr>
              <w:rFonts w:ascii="Arial" w:hAnsi="Arial" w:cs="Arial"/>
              <w:b/>
              <w:bCs/>
              <w:color w:val="003C69"/>
            </w:rPr>
            <w:t>ého</w:t>
          </w:r>
          <w:r w:rsidR="001E6B01" w:rsidRPr="009C4D20">
            <w:rPr>
              <w:rFonts w:ascii="Arial" w:hAnsi="Arial" w:cs="Arial"/>
              <w:b/>
              <w:bCs/>
              <w:color w:val="003C69"/>
            </w:rPr>
            <w:t xml:space="preserve"> obvod</w:t>
          </w:r>
          <w:r>
            <w:rPr>
              <w:rFonts w:ascii="Arial" w:hAnsi="Arial" w:cs="Arial"/>
              <w:b/>
              <w:bCs/>
              <w:color w:val="003C69"/>
            </w:rPr>
            <w:t>u</w:t>
          </w:r>
          <w:r w:rsidR="001E6B01" w:rsidRPr="009C4D20">
            <w:rPr>
              <w:rFonts w:ascii="Arial" w:hAnsi="Arial" w:cs="Arial"/>
              <w:b/>
              <w:bCs/>
              <w:color w:val="003C69"/>
            </w:rPr>
            <w:t xml:space="preserve"> Hrabová</w:t>
          </w:r>
        </w:p>
      </w:tc>
      <w:tc>
        <w:tcPr>
          <w:tcW w:w="2094" w:type="pct"/>
          <w:vAlign w:val="center"/>
          <w:hideMark/>
        </w:tcPr>
        <w:p w14:paraId="4715C140" w14:textId="1DE885EE" w:rsidR="001E6B01" w:rsidRPr="009C4D20" w:rsidRDefault="001E6B01" w:rsidP="001E6B01">
          <w:pPr>
            <w:ind w:left="370"/>
            <w:jc w:val="right"/>
            <w:rPr>
              <w:rFonts w:ascii="Arial" w:hAnsi="Arial" w:cs="Arial"/>
              <w:b/>
              <w:bCs/>
              <w:color w:val="00ABC9"/>
              <w:sz w:val="40"/>
              <w:szCs w:val="40"/>
            </w:rPr>
          </w:pPr>
          <w:r>
            <w:rPr>
              <w:rFonts w:ascii="Arial" w:hAnsi="Arial" w:cs="Arial"/>
              <w:b/>
              <w:bCs/>
              <w:color w:val="00ABC9"/>
              <w:sz w:val="40"/>
              <w:szCs w:val="40"/>
            </w:rPr>
            <w:t>Důvodová zpráva</w:t>
          </w:r>
        </w:p>
      </w:tc>
    </w:tr>
  </w:tbl>
  <w:p w14:paraId="334188A2" w14:textId="77777777" w:rsidR="00E54933" w:rsidRDefault="00E54933" w:rsidP="009015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DF80" w14:textId="77777777" w:rsidR="008633D0" w:rsidRDefault="008633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926"/>
    <w:multiLevelType w:val="hybridMultilevel"/>
    <w:tmpl w:val="2EE2E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E72196"/>
    <w:multiLevelType w:val="multilevel"/>
    <w:tmpl w:val="66A8A68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60DE6794"/>
    <w:multiLevelType w:val="hybridMultilevel"/>
    <w:tmpl w:val="EAFA0E16"/>
    <w:lvl w:ilvl="0" w:tplc="C624DDC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6076194">
    <w:abstractNumId w:val="0"/>
  </w:num>
  <w:num w:numId="2" w16cid:durableId="219101894">
    <w:abstractNumId w:val="2"/>
  </w:num>
  <w:num w:numId="3" w16cid:durableId="1143431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C9"/>
    <w:rsid w:val="00001CFF"/>
    <w:rsid w:val="00004665"/>
    <w:rsid w:val="000062CD"/>
    <w:rsid w:val="00054F4F"/>
    <w:rsid w:val="0006276A"/>
    <w:rsid w:val="0006317B"/>
    <w:rsid w:val="0006723C"/>
    <w:rsid w:val="00072A0B"/>
    <w:rsid w:val="0008400D"/>
    <w:rsid w:val="00084291"/>
    <w:rsid w:val="00085FD2"/>
    <w:rsid w:val="000924F3"/>
    <w:rsid w:val="00093933"/>
    <w:rsid w:val="00095FF0"/>
    <w:rsid w:val="000B31AB"/>
    <w:rsid w:val="000B5B27"/>
    <w:rsid w:val="000C26AF"/>
    <w:rsid w:val="000C5E42"/>
    <w:rsid w:val="000C7816"/>
    <w:rsid w:val="000E182E"/>
    <w:rsid w:val="000E3A5E"/>
    <w:rsid w:val="00101651"/>
    <w:rsid w:val="00105654"/>
    <w:rsid w:val="001348F0"/>
    <w:rsid w:val="00143B6B"/>
    <w:rsid w:val="00147A3D"/>
    <w:rsid w:val="0015697B"/>
    <w:rsid w:val="00167C6F"/>
    <w:rsid w:val="00174097"/>
    <w:rsid w:val="001848CA"/>
    <w:rsid w:val="001B0DE1"/>
    <w:rsid w:val="001C3AE2"/>
    <w:rsid w:val="001C70A2"/>
    <w:rsid w:val="001D1519"/>
    <w:rsid w:val="001E6B01"/>
    <w:rsid w:val="001F2277"/>
    <w:rsid w:val="001F2A36"/>
    <w:rsid w:val="00202495"/>
    <w:rsid w:val="00216CF4"/>
    <w:rsid w:val="00231080"/>
    <w:rsid w:val="0023216F"/>
    <w:rsid w:val="00232FC7"/>
    <w:rsid w:val="00267D18"/>
    <w:rsid w:val="00273384"/>
    <w:rsid w:val="00281F22"/>
    <w:rsid w:val="002969A1"/>
    <w:rsid w:val="002A279B"/>
    <w:rsid w:val="002B6AC9"/>
    <w:rsid w:val="002E6C39"/>
    <w:rsid w:val="002F2162"/>
    <w:rsid w:val="003017B2"/>
    <w:rsid w:val="00311815"/>
    <w:rsid w:val="00317E7A"/>
    <w:rsid w:val="00320F7B"/>
    <w:rsid w:val="003328F0"/>
    <w:rsid w:val="003623F8"/>
    <w:rsid w:val="003717E8"/>
    <w:rsid w:val="0037540E"/>
    <w:rsid w:val="00384467"/>
    <w:rsid w:val="003A6DCB"/>
    <w:rsid w:val="003B0CAA"/>
    <w:rsid w:val="003B6ABD"/>
    <w:rsid w:val="003C22E2"/>
    <w:rsid w:val="003C3E81"/>
    <w:rsid w:val="003C7DD6"/>
    <w:rsid w:val="003D40D9"/>
    <w:rsid w:val="003D5A8F"/>
    <w:rsid w:val="003E0EB2"/>
    <w:rsid w:val="0040351E"/>
    <w:rsid w:val="00412B0D"/>
    <w:rsid w:val="004227D4"/>
    <w:rsid w:val="004230B5"/>
    <w:rsid w:val="004352B2"/>
    <w:rsid w:val="004547B7"/>
    <w:rsid w:val="004646E0"/>
    <w:rsid w:val="004675E6"/>
    <w:rsid w:val="00477A9A"/>
    <w:rsid w:val="00492CCA"/>
    <w:rsid w:val="00495721"/>
    <w:rsid w:val="004A266F"/>
    <w:rsid w:val="004B599C"/>
    <w:rsid w:val="004C04CF"/>
    <w:rsid w:val="004E1764"/>
    <w:rsid w:val="004E3081"/>
    <w:rsid w:val="004E4010"/>
    <w:rsid w:val="004F7073"/>
    <w:rsid w:val="00502861"/>
    <w:rsid w:val="00506A51"/>
    <w:rsid w:val="00515B81"/>
    <w:rsid w:val="00517F40"/>
    <w:rsid w:val="00527954"/>
    <w:rsid w:val="00546D0D"/>
    <w:rsid w:val="00552428"/>
    <w:rsid w:val="00563D9D"/>
    <w:rsid w:val="005853A3"/>
    <w:rsid w:val="005966FD"/>
    <w:rsid w:val="005A0B8B"/>
    <w:rsid w:val="005B73A2"/>
    <w:rsid w:val="005C0E8C"/>
    <w:rsid w:val="005C211F"/>
    <w:rsid w:val="005C5308"/>
    <w:rsid w:val="005C648C"/>
    <w:rsid w:val="005D0D04"/>
    <w:rsid w:val="005D15FC"/>
    <w:rsid w:val="005D6277"/>
    <w:rsid w:val="005D7590"/>
    <w:rsid w:val="005E6AC0"/>
    <w:rsid w:val="005F0038"/>
    <w:rsid w:val="005F62E4"/>
    <w:rsid w:val="0061472A"/>
    <w:rsid w:val="0064155B"/>
    <w:rsid w:val="006731E6"/>
    <w:rsid w:val="00685822"/>
    <w:rsid w:val="0068728B"/>
    <w:rsid w:val="00695CA5"/>
    <w:rsid w:val="006A171A"/>
    <w:rsid w:val="006B3D24"/>
    <w:rsid w:val="006C0992"/>
    <w:rsid w:val="006C5968"/>
    <w:rsid w:val="006D612A"/>
    <w:rsid w:val="00714D08"/>
    <w:rsid w:val="00716246"/>
    <w:rsid w:val="00716F45"/>
    <w:rsid w:val="00720D7E"/>
    <w:rsid w:val="00725DA6"/>
    <w:rsid w:val="007422E7"/>
    <w:rsid w:val="00743440"/>
    <w:rsid w:val="007650C4"/>
    <w:rsid w:val="00770B62"/>
    <w:rsid w:val="0077533C"/>
    <w:rsid w:val="00783154"/>
    <w:rsid w:val="007927CE"/>
    <w:rsid w:val="00794165"/>
    <w:rsid w:val="00794F06"/>
    <w:rsid w:val="007B39F7"/>
    <w:rsid w:val="007C16A1"/>
    <w:rsid w:val="007C5DBC"/>
    <w:rsid w:val="007D5BA8"/>
    <w:rsid w:val="007E23C8"/>
    <w:rsid w:val="007F32DB"/>
    <w:rsid w:val="007F32E6"/>
    <w:rsid w:val="00802046"/>
    <w:rsid w:val="0081070D"/>
    <w:rsid w:val="008211AE"/>
    <w:rsid w:val="00821688"/>
    <w:rsid w:val="00843D25"/>
    <w:rsid w:val="008633D0"/>
    <w:rsid w:val="00870D4E"/>
    <w:rsid w:val="00874525"/>
    <w:rsid w:val="00897599"/>
    <w:rsid w:val="008A1195"/>
    <w:rsid w:val="008A20EF"/>
    <w:rsid w:val="008A3447"/>
    <w:rsid w:val="008A5D70"/>
    <w:rsid w:val="008C06B6"/>
    <w:rsid w:val="008C2073"/>
    <w:rsid w:val="008C3B92"/>
    <w:rsid w:val="008C70F5"/>
    <w:rsid w:val="008D1EA4"/>
    <w:rsid w:val="008D336E"/>
    <w:rsid w:val="008D606A"/>
    <w:rsid w:val="008D7C95"/>
    <w:rsid w:val="008F36DC"/>
    <w:rsid w:val="008F7768"/>
    <w:rsid w:val="009015F7"/>
    <w:rsid w:val="00902FF8"/>
    <w:rsid w:val="009066BC"/>
    <w:rsid w:val="009254B6"/>
    <w:rsid w:val="0093208D"/>
    <w:rsid w:val="00971FD1"/>
    <w:rsid w:val="00977B8D"/>
    <w:rsid w:val="00984A78"/>
    <w:rsid w:val="00994160"/>
    <w:rsid w:val="009A2FA3"/>
    <w:rsid w:val="009A3FB1"/>
    <w:rsid w:val="009B11B9"/>
    <w:rsid w:val="009B487C"/>
    <w:rsid w:val="009C55EF"/>
    <w:rsid w:val="009D02C7"/>
    <w:rsid w:val="009E50FF"/>
    <w:rsid w:val="00A132E6"/>
    <w:rsid w:val="00A23D59"/>
    <w:rsid w:val="00A43F03"/>
    <w:rsid w:val="00A47922"/>
    <w:rsid w:val="00A56AD2"/>
    <w:rsid w:val="00A57640"/>
    <w:rsid w:val="00A60879"/>
    <w:rsid w:val="00A6243B"/>
    <w:rsid w:val="00A62CDF"/>
    <w:rsid w:val="00A64D87"/>
    <w:rsid w:val="00A921C8"/>
    <w:rsid w:val="00A929CE"/>
    <w:rsid w:val="00AB6EB1"/>
    <w:rsid w:val="00AD5B95"/>
    <w:rsid w:val="00AE5D3B"/>
    <w:rsid w:val="00B333A6"/>
    <w:rsid w:val="00B343CD"/>
    <w:rsid w:val="00B52AB8"/>
    <w:rsid w:val="00B53C36"/>
    <w:rsid w:val="00B80BB9"/>
    <w:rsid w:val="00B87F79"/>
    <w:rsid w:val="00BC5567"/>
    <w:rsid w:val="00BD5F5A"/>
    <w:rsid w:val="00BF6FF2"/>
    <w:rsid w:val="00C03CE4"/>
    <w:rsid w:val="00C06996"/>
    <w:rsid w:val="00C1281D"/>
    <w:rsid w:val="00C26C0A"/>
    <w:rsid w:val="00C52953"/>
    <w:rsid w:val="00C62FE7"/>
    <w:rsid w:val="00C64A27"/>
    <w:rsid w:val="00C67FA2"/>
    <w:rsid w:val="00C91862"/>
    <w:rsid w:val="00CA3CFE"/>
    <w:rsid w:val="00CA5DAD"/>
    <w:rsid w:val="00CA70C7"/>
    <w:rsid w:val="00CB5645"/>
    <w:rsid w:val="00CC2040"/>
    <w:rsid w:val="00CC4007"/>
    <w:rsid w:val="00CD22EE"/>
    <w:rsid w:val="00CD2EB9"/>
    <w:rsid w:val="00CD6405"/>
    <w:rsid w:val="00CE34F1"/>
    <w:rsid w:val="00CE5682"/>
    <w:rsid w:val="00CF34CF"/>
    <w:rsid w:val="00D14F73"/>
    <w:rsid w:val="00D15F1E"/>
    <w:rsid w:val="00D17B82"/>
    <w:rsid w:val="00D23351"/>
    <w:rsid w:val="00D4413B"/>
    <w:rsid w:val="00D452D9"/>
    <w:rsid w:val="00D5582D"/>
    <w:rsid w:val="00D603B9"/>
    <w:rsid w:val="00D74E41"/>
    <w:rsid w:val="00D77ACF"/>
    <w:rsid w:val="00D87922"/>
    <w:rsid w:val="00DA6796"/>
    <w:rsid w:val="00DC4C0B"/>
    <w:rsid w:val="00DC5563"/>
    <w:rsid w:val="00DD1870"/>
    <w:rsid w:val="00DD4E8C"/>
    <w:rsid w:val="00DF1B21"/>
    <w:rsid w:val="00DF6E83"/>
    <w:rsid w:val="00E01806"/>
    <w:rsid w:val="00E02C42"/>
    <w:rsid w:val="00E267C5"/>
    <w:rsid w:val="00E27234"/>
    <w:rsid w:val="00E27415"/>
    <w:rsid w:val="00E35D67"/>
    <w:rsid w:val="00E54933"/>
    <w:rsid w:val="00E65903"/>
    <w:rsid w:val="00E96757"/>
    <w:rsid w:val="00EA1990"/>
    <w:rsid w:val="00EA2DA1"/>
    <w:rsid w:val="00EA7F4A"/>
    <w:rsid w:val="00EC246A"/>
    <w:rsid w:val="00EC436D"/>
    <w:rsid w:val="00EC7051"/>
    <w:rsid w:val="00ED54EF"/>
    <w:rsid w:val="00EF3DFF"/>
    <w:rsid w:val="00F02708"/>
    <w:rsid w:val="00F34699"/>
    <w:rsid w:val="00F41C10"/>
    <w:rsid w:val="00F645A7"/>
    <w:rsid w:val="00F64AC1"/>
    <w:rsid w:val="00F728E0"/>
    <w:rsid w:val="00F84064"/>
    <w:rsid w:val="00F87E4E"/>
    <w:rsid w:val="00F94447"/>
    <w:rsid w:val="00FB75DE"/>
    <w:rsid w:val="00FC0FE0"/>
    <w:rsid w:val="00FC10A9"/>
    <w:rsid w:val="00FD28A5"/>
    <w:rsid w:val="00FD6ABB"/>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8134F"/>
  <w15:chartTrackingRefBased/>
  <w15:docId w15:val="{03B9DF36-3CC2-47B6-87A4-76C3BADA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rsid w:val="009066BC"/>
    <w:pPr>
      <w:tabs>
        <w:tab w:val="center" w:pos="4536"/>
        <w:tab w:val="right" w:pos="9072"/>
      </w:tabs>
    </w:pPr>
  </w:style>
  <w:style w:type="character" w:styleId="Hypertextovodkaz">
    <w:name w:val="Hyperlink"/>
    <w:rsid w:val="00A6243B"/>
    <w:rPr>
      <w:color w:val="0000FF"/>
      <w:u w:val="single"/>
    </w:rPr>
  </w:style>
  <w:style w:type="character" w:styleId="Nevyeenzmnka">
    <w:name w:val="Unresolved Mention"/>
    <w:uiPriority w:val="99"/>
    <w:semiHidden/>
    <w:unhideWhenUsed/>
    <w:rsid w:val="00AB6EB1"/>
    <w:rPr>
      <w:color w:val="605E5C"/>
      <w:shd w:val="clear" w:color="auto" w:fill="E1DFDD"/>
    </w:rPr>
  </w:style>
  <w:style w:type="table" w:styleId="Mkatabulky">
    <w:name w:val="Table Grid"/>
    <w:basedOn w:val="Normlntabulka"/>
    <w:uiPriority w:val="59"/>
    <w:rsid w:val="005F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1B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4067">
      <w:bodyDiv w:val="1"/>
      <w:marLeft w:val="0"/>
      <w:marRight w:val="0"/>
      <w:marTop w:val="0"/>
      <w:marBottom w:val="0"/>
      <w:divBdr>
        <w:top w:val="none" w:sz="0" w:space="0" w:color="auto"/>
        <w:left w:val="none" w:sz="0" w:space="0" w:color="auto"/>
        <w:bottom w:val="none" w:sz="0" w:space="0" w:color="auto"/>
        <w:right w:val="none" w:sz="0" w:space="0" w:color="auto"/>
      </w:divBdr>
    </w:div>
    <w:div w:id="459957753">
      <w:bodyDiv w:val="1"/>
      <w:marLeft w:val="0"/>
      <w:marRight w:val="0"/>
      <w:marTop w:val="0"/>
      <w:marBottom w:val="0"/>
      <w:divBdr>
        <w:top w:val="none" w:sz="0" w:space="0" w:color="auto"/>
        <w:left w:val="none" w:sz="0" w:space="0" w:color="auto"/>
        <w:bottom w:val="none" w:sz="0" w:space="0" w:color="auto"/>
        <w:right w:val="none" w:sz="0" w:space="0" w:color="auto"/>
      </w:divBdr>
    </w:div>
    <w:div w:id="811023399">
      <w:bodyDiv w:val="1"/>
      <w:marLeft w:val="0"/>
      <w:marRight w:val="0"/>
      <w:marTop w:val="0"/>
      <w:marBottom w:val="0"/>
      <w:divBdr>
        <w:top w:val="none" w:sz="0" w:space="0" w:color="auto"/>
        <w:left w:val="none" w:sz="0" w:space="0" w:color="auto"/>
        <w:bottom w:val="none" w:sz="0" w:space="0" w:color="auto"/>
        <w:right w:val="none" w:sz="0" w:space="0" w:color="auto"/>
      </w:divBdr>
    </w:div>
    <w:div w:id="1309479800">
      <w:bodyDiv w:val="1"/>
      <w:marLeft w:val="0"/>
      <w:marRight w:val="0"/>
      <w:marTop w:val="0"/>
      <w:marBottom w:val="0"/>
      <w:divBdr>
        <w:top w:val="none" w:sz="0" w:space="0" w:color="auto"/>
        <w:left w:val="none" w:sz="0" w:space="0" w:color="auto"/>
        <w:bottom w:val="none" w:sz="0" w:space="0" w:color="auto"/>
        <w:right w:val="none" w:sz="0" w:space="0" w:color="auto"/>
      </w:divBdr>
      <w:divsChild>
        <w:div w:id="1861629402">
          <w:marLeft w:val="0"/>
          <w:marRight w:val="0"/>
          <w:marTop w:val="0"/>
          <w:marBottom w:val="0"/>
          <w:divBdr>
            <w:top w:val="none" w:sz="0" w:space="0" w:color="auto"/>
            <w:left w:val="none" w:sz="0" w:space="0" w:color="auto"/>
            <w:bottom w:val="none" w:sz="0" w:space="0" w:color="auto"/>
            <w:right w:val="none" w:sz="0" w:space="0" w:color="auto"/>
          </w:divBdr>
        </w:div>
        <w:div w:id="1370103643">
          <w:marLeft w:val="0"/>
          <w:marRight w:val="0"/>
          <w:marTop w:val="0"/>
          <w:marBottom w:val="0"/>
          <w:divBdr>
            <w:top w:val="none" w:sz="0" w:space="0" w:color="auto"/>
            <w:left w:val="none" w:sz="0" w:space="0" w:color="auto"/>
            <w:bottom w:val="none" w:sz="0" w:space="0" w:color="auto"/>
            <w:right w:val="none" w:sz="0" w:space="0" w:color="auto"/>
          </w:divBdr>
        </w:div>
        <w:div w:id="178442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2425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2830</CharactersWithSpaces>
  <SharedDoc>false</SharedDoc>
  <HLinks>
    <vt:vector size="12" baseType="variant">
      <vt:variant>
        <vt:i4>8323075</vt:i4>
      </vt:variant>
      <vt:variant>
        <vt:i4>11</vt:i4>
      </vt:variant>
      <vt:variant>
        <vt:i4>0</vt:i4>
      </vt:variant>
      <vt:variant>
        <vt:i4>5</vt:i4>
      </vt:variant>
      <vt:variant>
        <vt:lpwstr>mailto:posta@ostrava-hrabova.cz</vt:lpwstr>
      </vt:variant>
      <vt:variant>
        <vt:lpwstr/>
      </vt:variant>
      <vt:variant>
        <vt:i4>8060984</vt:i4>
      </vt:variant>
      <vt:variant>
        <vt:i4>8</vt:i4>
      </vt:variant>
      <vt:variant>
        <vt:i4>0</vt:i4>
      </vt:variant>
      <vt:variant>
        <vt:i4>5</vt:i4>
      </vt:variant>
      <vt:variant>
        <vt:lpwstr>http://www.ostrava-hrabova.cz/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dc:description/>
  <cp:lastModifiedBy>Tajchmanová Jana</cp:lastModifiedBy>
  <cp:revision>2</cp:revision>
  <cp:lastPrinted>2024-03-11T14:44:00Z</cp:lastPrinted>
  <dcterms:created xsi:type="dcterms:W3CDTF">2024-05-27T13:57:00Z</dcterms:created>
  <dcterms:modified xsi:type="dcterms:W3CDTF">2024-05-27T13:57:00Z</dcterms:modified>
</cp:coreProperties>
</file>