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ED" w:rsidRPr="00EA52ED" w:rsidRDefault="00EA52ED" w:rsidP="00EA52ED">
      <w:pPr>
        <w:spacing w:after="0" w:line="240" w:lineRule="auto"/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</w:pPr>
      <w:r w:rsidRPr="00EA52ED"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  <w:t>Rozhodnutí o odmítnutí žádosti, odvolání, stížnost na postup při vyřizování žádosti o informace</w:t>
      </w:r>
    </w:p>
    <w:p w:rsidR="00EA52ED" w:rsidRPr="00EA52ED" w:rsidRDefault="00EA52ED" w:rsidP="00EA52ED">
      <w:pPr>
        <w:numPr>
          <w:ilvl w:val="0"/>
          <w:numId w:val="1"/>
        </w:numPr>
        <w:spacing w:before="100" w:beforeAutospacing="1" w:after="168" w:line="240" w:lineRule="auto"/>
        <w:ind w:left="360"/>
        <w:jc w:val="both"/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</w:pPr>
      <w:r w:rsidRPr="00EA52ED"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  <w:t>Pokud písemné žádosti nebylo třeba jen zčásti vyhověno, vydá o tom odbor ve lhůtě pro vyřízení žádosti rozhodnutí o odmítnutí žádosti, příp. části žádosti.</w:t>
      </w:r>
    </w:p>
    <w:p w:rsidR="00EA52ED" w:rsidRPr="00EA52ED" w:rsidRDefault="00EA52ED" w:rsidP="00EA52ED">
      <w:pPr>
        <w:numPr>
          <w:ilvl w:val="0"/>
          <w:numId w:val="1"/>
        </w:numPr>
        <w:spacing w:before="100" w:beforeAutospacing="1" w:after="168" w:line="240" w:lineRule="auto"/>
        <w:ind w:left="360"/>
        <w:jc w:val="both"/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</w:pPr>
      <w:r w:rsidRPr="00EA52ED"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  <w:t>Nestanoví-li zákon o informacích jinak, použije se správní řád:</w:t>
      </w:r>
    </w:p>
    <w:p w:rsidR="00EA52ED" w:rsidRPr="00EA52ED" w:rsidRDefault="00EA52ED" w:rsidP="00EA52ED">
      <w:pPr>
        <w:numPr>
          <w:ilvl w:val="1"/>
          <w:numId w:val="1"/>
        </w:numPr>
        <w:spacing w:before="100" w:beforeAutospacing="1" w:after="168" w:line="240" w:lineRule="auto"/>
        <w:ind w:left="945"/>
        <w:jc w:val="both"/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</w:pPr>
      <w:r w:rsidRPr="00EA52ED"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  <w:t>pro rozhodnutí o odmítnutí žádosti, příp. části žádosti</w:t>
      </w:r>
    </w:p>
    <w:p w:rsidR="00EA52ED" w:rsidRPr="00EA52ED" w:rsidRDefault="00EA52ED" w:rsidP="00EA52ED">
      <w:pPr>
        <w:numPr>
          <w:ilvl w:val="1"/>
          <w:numId w:val="1"/>
        </w:numPr>
        <w:spacing w:before="100" w:beforeAutospacing="1" w:after="168" w:line="240" w:lineRule="auto"/>
        <w:ind w:left="945"/>
        <w:jc w:val="both"/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</w:pPr>
      <w:r w:rsidRPr="00EA52ED"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  <w:t>pro odvolací řízení</w:t>
      </w:r>
    </w:p>
    <w:p w:rsidR="00EA52ED" w:rsidRPr="00EA52ED" w:rsidRDefault="00EA52ED" w:rsidP="00EA52ED">
      <w:pPr>
        <w:numPr>
          <w:ilvl w:val="1"/>
          <w:numId w:val="1"/>
        </w:numPr>
        <w:spacing w:before="100" w:beforeAutospacing="1" w:after="168" w:line="240" w:lineRule="auto"/>
        <w:ind w:left="945"/>
        <w:jc w:val="both"/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</w:pPr>
      <w:r w:rsidRPr="00EA52ED"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  <w:t>v řízení o stížnosti pro počítání lhůt, doručování a náklady řízení</w:t>
      </w:r>
    </w:p>
    <w:p w:rsidR="009D3603" w:rsidRDefault="00EA52ED" w:rsidP="00EA52ED">
      <w:pPr>
        <w:spacing w:beforeAutospacing="1" w:after="0" w:line="240" w:lineRule="auto"/>
        <w:ind w:left="360"/>
        <w:jc w:val="both"/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</w:pPr>
      <w:r w:rsidRPr="00EA52ED"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  <w:t>Dále se použijí ustanovení správního řádu o základních zásadách činnosti správních orgánů,</w:t>
      </w:r>
    </w:p>
    <w:p w:rsidR="00EA52ED" w:rsidRPr="00EA52ED" w:rsidRDefault="00EA52ED" w:rsidP="00EA52ED">
      <w:pPr>
        <w:spacing w:beforeAutospacing="1" w:after="0" w:line="240" w:lineRule="auto"/>
        <w:ind w:left="360"/>
        <w:jc w:val="both"/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</w:pPr>
      <w:bookmarkStart w:id="0" w:name="_GoBack"/>
      <w:bookmarkEnd w:id="0"/>
      <w:r w:rsidRPr="00EA52ED"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  <w:t xml:space="preserve">ustanovení o ochraně před nečinností a </w:t>
      </w:r>
      <w:proofErr w:type="spellStart"/>
      <w:r w:rsidRPr="00EA52ED"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  <w:t>ust</w:t>
      </w:r>
      <w:proofErr w:type="spellEnd"/>
      <w:r w:rsidRPr="00EA52ED"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  <w:t>. § 178; v ostatním se správní řád nepoužije.</w:t>
      </w:r>
    </w:p>
    <w:p w:rsidR="00EA52ED" w:rsidRDefault="00EA52ED" w:rsidP="00EA52ED">
      <w:pPr>
        <w:numPr>
          <w:ilvl w:val="0"/>
          <w:numId w:val="1"/>
        </w:numPr>
        <w:spacing w:before="100" w:beforeAutospacing="1" w:after="168" w:line="240" w:lineRule="auto"/>
        <w:ind w:left="360"/>
        <w:jc w:val="both"/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</w:pPr>
      <w:r w:rsidRPr="00EA52ED"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  <w:t xml:space="preserve">Odvolání proti rozhodnutí o odmítnutí žádosti, příp. části žádosti se podává na podatelnu či přímo odboru. Orgán, který rozhodnutí vydal, může o odvolání sám rozhodnout tak, že mu v plném rozsahu vyhoví. Nerozhodne-li v rámci </w:t>
      </w:r>
      <w:proofErr w:type="spellStart"/>
      <w:r w:rsidRPr="00EA52ED"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  <w:t>autoremedury</w:t>
      </w:r>
      <w:proofErr w:type="spellEnd"/>
      <w:r w:rsidRPr="00EA52ED"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  <w:t>, předloží odvolání spolu se spisovým materiálem Krajskému úřadu Moravskoslezského kraje ve lhůtě 15 dnů ode dne doručení odvolání.</w:t>
      </w:r>
    </w:p>
    <w:p w:rsidR="00EA52ED" w:rsidRPr="00EA52ED" w:rsidRDefault="00EA52ED" w:rsidP="00EA52ED">
      <w:pPr>
        <w:numPr>
          <w:ilvl w:val="0"/>
          <w:numId w:val="1"/>
        </w:numPr>
        <w:spacing w:before="100" w:beforeAutospacing="1" w:after="168" w:line="240" w:lineRule="auto"/>
        <w:ind w:left="360"/>
        <w:jc w:val="both"/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</w:pPr>
      <w:r w:rsidRPr="00EA52ED"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  <w:t>Odvolacím orgánem proti rozhodnutí orgánů městských obvodů jsou podle působnosti jednotlivé odbory magistrátu.</w:t>
      </w:r>
    </w:p>
    <w:p w:rsidR="000F43A7" w:rsidRDefault="00EA52ED" w:rsidP="000F43A7">
      <w:pPr>
        <w:numPr>
          <w:ilvl w:val="0"/>
          <w:numId w:val="1"/>
        </w:numPr>
        <w:spacing w:before="100" w:beforeAutospacing="1" w:after="168" w:line="240" w:lineRule="auto"/>
        <w:ind w:left="360"/>
        <w:jc w:val="both"/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</w:pPr>
      <w:r w:rsidRPr="00EA52ED"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  <w:t xml:space="preserve">Stížnost na postup poskytovatele při vyřizování žádosti o informace ve smyslu </w:t>
      </w:r>
      <w:proofErr w:type="spellStart"/>
      <w:r w:rsidRPr="00EA52ED"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  <w:t>ust</w:t>
      </w:r>
      <w:proofErr w:type="spellEnd"/>
      <w:r w:rsidRPr="00EA52ED"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  <w:t>. § 16a zákona o informacích (dále jen "stížnost") se podává na podatelnu či na odbor. Je-li stížnost podána ústně a nelze ji vyřídit ihned, sepíše se o ní písemný záznam.</w:t>
      </w:r>
    </w:p>
    <w:p w:rsidR="00EA52ED" w:rsidRPr="000F43A7" w:rsidRDefault="00EA52ED" w:rsidP="000F43A7">
      <w:pPr>
        <w:numPr>
          <w:ilvl w:val="0"/>
          <w:numId w:val="1"/>
        </w:numPr>
        <w:spacing w:before="100" w:beforeAutospacing="1" w:after="168" w:line="240" w:lineRule="auto"/>
        <w:ind w:left="360"/>
        <w:jc w:val="both"/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</w:pPr>
      <w:r w:rsidRPr="00EA52ED"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  <w:t>Stížnost se spolu se spisovým materiálem předloží Krajskému úřadu Moravskoslezského kraje do 7 dnů ode dne jejího podání, pokud v této lhůtě nebude stížnosti zcela vyhověno tím, že požadovaná informace nebo konečná licenční nabídka bude poskytnuta, nebo nebude-li vydáno rozhodnutí o odmítnutí žádosti, příp. části žádosti.</w:t>
      </w:r>
    </w:p>
    <w:p w:rsidR="00EA52ED" w:rsidRPr="00EA52ED" w:rsidRDefault="00EA52ED" w:rsidP="00EA52ED">
      <w:pPr>
        <w:numPr>
          <w:ilvl w:val="0"/>
          <w:numId w:val="1"/>
        </w:numPr>
        <w:spacing w:before="100" w:beforeAutospacing="1" w:after="168" w:line="240" w:lineRule="auto"/>
        <w:ind w:left="360"/>
        <w:jc w:val="both"/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</w:pPr>
      <w:r w:rsidRPr="00EA52ED">
        <w:rPr>
          <w:rFonts w:ascii="Verdana" w:eastAsia="Times New Roman" w:hAnsi="Verdana" w:cs="Times New Roman"/>
          <w:color w:val="003C69"/>
          <w:sz w:val="18"/>
          <w:szCs w:val="18"/>
          <w:lang w:eastAsia="cs-CZ"/>
        </w:rPr>
        <w:t>Je-li poskytovatelem orgán městského obvodu, rozhodují o stížnosti podle své působnosti jednotlivé odbory magistrátu.</w:t>
      </w:r>
    </w:p>
    <w:p w:rsidR="008C39DC" w:rsidRDefault="008C39DC"/>
    <w:sectPr w:rsidR="008C3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205D7"/>
    <w:multiLevelType w:val="multilevel"/>
    <w:tmpl w:val="640C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2ED"/>
    <w:rsid w:val="00013A2D"/>
    <w:rsid w:val="000200CF"/>
    <w:rsid w:val="0003295E"/>
    <w:rsid w:val="00044655"/>
    <w:rsid w:val="00044F14"/>
    <w:rsid w:val="00051958"/>
    <w:rsid w:val="00053D6D"/>
    <w:rsid w:val="00056071"/>
    <w:rsid w:val="00061C80"/>
    <w:rsid w:val="00074F18"/>
    <w:rsid w:val="00074F7E"/>
    <w:rsid w:val="0008217D"/>
    <w:rsid w:val="000831A4"/>
    <w:rsid w:val="000977F4"/>
    <w:rsid w:val="000A05AC"/>
    <w:rsid w:val="000A109B"/>
    <w:rsid w:val="000A17BB"/>
    <w:rsid w:val="000B6C8E"/>
    <w:rsid w:val="000C04DA"/>
    <w:rsid w:val="000C70E7"/>
    <w:rsid w:val="000D4F59"/>
    <w:rsid w:val="000E3161"/>
    <w:rsid w:val="000E342C"/>
    <w:rsid w:val="000E4458"/>
    <w:rsid w:val="000E6560"/>
    <w:rsid w:val="000E6F1C"/>
    <w:rsid w:val="000E7616"/>
    <w:rsid w:val="000F43A7"/>
    <w:rsid w:val="000F5EC2"/>
    <w:rsid w:val="000F617B"/>
    <w:rsid w:val="000F64EC"/>
    <w:rsid w:val="00100102"/>
    <w:rsid w:val="00102691"/>
    <w:rsid w:val="0010381A"/>
    <w:rsid w:val="00104DF1"/>
    <w:rsid w:val="00105C90"/>
    <w:rsid w:val="00105D2D"/>
    <w:rsid w:val="00111925"/>
    <w:rsid w:val="00111AC4"/>
    <w:rsid w:val="001131A9"/>
    <w:rsid w:val="0011421A"/>
    <w:rsid w:val="00120262"/>
    <w:rsid w:val="00121719"/>
    <w:rsid w:val="001218DB"/>
    <w:rsid w:val="00122502"/>
    <w:rsid w:val="00122657"/>
    <w:rsid w:val="00124A38"/>
    <w:rsid w:val="001250CD"/>
    <w:rsid w:val="00126402"/>
    <w:rsid w:val="00133C03"/>
    <w:rsid w:val="001348FD"/>
    <w:rsid w:val="0013629F"/>
    <w:rsid w:val="00141C72"/>
    <w:rsid w:val="00156F08"/>
    <w:rsid w:val="00161D25"/>
    <w:rsid w:val="00167967"/>
    <w:rsid w:val="001702DC"/>
    <w:rsid w:val="00170605"/>
    <w:rsid w:val="00172073"/>
    <w:rsid w:val="00173A7D"/>
    <w:rsid w:val="00181409"/>
    <w:rsid w:val="001827E4"/>
    <w:rsid w:val="00183508"/>
    <w:rsid w:val="00192191"/>
    <w:rsid w:val="001952FF"/>
    <w:rsid w:val="00195ED3"/>
    <w:rsid w:val="001974EF"/>
    <w:rsid w:val="001A11F4"/>
    <w:rsid w:val="001A32EC"/>
    <w:rsid w:val="001B1D91"/>
    <w:rsid w:val="001B226D"/>
    <w:rsid w:val="001C02CA"/>
    <w:rsid w:val="001C4385"/>
    <w:rsid w:val="001C5736"/>
    <w:rsid w:val="001C5ED0"/>
    <w:rsid w:val="001C7580"/>
    <w:rsid w:val="001D099D"/>
    <w:rsid w:val="001D11E9"/>
    <w:rsid w:val="001D1AB1"/>
    <w:rsid w:val="001D4F85"/>
    <w:rsid w:val="001D7B9B"/>
    <w:rsid w:val="001E6084"/>
    <w:rsid w:val="001E700E"/>
    <w:rsid w:val="001F10F6"/>
    <w:rsid w:val="001F259B"/>
    <w:rsid w:val="001F65D6"/>
    <w:rsid w:val="0020061D"/>
    <w:rsid w:val="0020221A"/>
    <w:rsid w:val="00202E8E"/>
    <w:rsid w:val="00203392"/>
    <w:rsid w:val="00205B72"/>
    <w:rsid w:val="00217868"/>
    <w:rsid w:val="0022037F"/>
    <w:rsid w:val="00227410"/>
    <w:rsid w:val="00243697"/>
    <w:rsid w:val="00254545"/>
    <w:rsid w:val="00254A88"/>
    <w:rsid w:val="00256559"/>
    <w:rsid w:val="00256611"/>
    <w:rsid w:val="00256981"/>
    <w:rsid w:val="002647D7"/>
    <w:rsid w:val="0026617E"/>
    <w:rsid w:val="00271380"/>
    <w:rsid w:val="002719C0"/>
    <w:rsid w:val="00271BD4"/>
    <w:rsid w:val="00275AE3"/>
    <w:rsid w:val="00275D3A"/>
    <w:rsid w:val="002768B9"/>
    <w:rsid w:val="002774C9"/>
    <w:rsid w:val="00281E29"/>
    <w:rsid w:val="00282583"/>
    <w:rsid w:val="0028539E"/>
    <w:rsid w:val="002853F1"/>
    <w:rsid w:val="00292391"/>
    <w:rsid w:val="002938B0"/>
    <w:rsid w:val="00297D96"/>
    <w:rsid w:val="002B51D0"/>
    <w:rsid w:val="002B51F2"/>
    <w:rsid w:val="002B5AF6"/>
    <w:rsid w:val="002C0004"/>
    <w:rsid w:val="002C432C"/>
    <w:rsid w:val="002D20B6"/>
    <w:rsid w:val="002E0151"/>
    <w:rsid w:val="002F48A9"/>
    <w:rsid w:val="003002FD"/>
    <w:rsid w:val="00310EBB"/>
    <w:rsid w:val="0031149C"/>
    <w:rsid w:val="0031384A"/>
    <w:rsid w:val="00313A26"/>
    <w:rsid w:val="0031565D"/>
    <w:rsid w:val="00317ADB"/>
    <w:rsid w:val="00321C0B"/>
    <w:rsid w:val="003224BE"/>
    <w:rsid w:val="00333662"/>
    <w:rsid w:val="00333AF8"/>
    <w:rsid w:val="00335EF2"/>
    <w:rsid w:val="00336CB8"/>
    <w:rsid w:val="00342654"/>
    <w:rsid w:val="003428C2"/>
    <w:rsid w:val="00342CA3"/>
    <w:rsid w:val="0034644B"/>
    <w:rsid w:val="00346919"/>
    <w:rsid w:val="00351518"/>
    <w:rsid w:val="003517ED"/>
    <w:rsid w:val="00355635"/>
    <w:rsid w:val="00360007"/>
    <w:rsid w:val="00371FD4"/>
    <w:rsid w:val="00376336"/>
    <w:rsid w:val="00381EE4"/>
    <w:rsid w:val="00383A73"/>
    <w:rsid w:val="00390AFF"/>
    <w:rsid w:val="00392880"/>
    <w:rsid w:val="00397584"/>
    <w:rsid w:val="003A0FA5"/>
    <w:rsid w:val="003A144A"/>
    <w:rsid w:val="003A19C1"/>
    <w:rsid w:val="003A48C8"/>
    <w:rsid w:val="003A4C86"/>
    <w:rsid w:val="003B242D"/>
    <w:rsid w:val="003B32C0"/>
    <w:rsid w:val="003B49C8"/>
    <w:rsid w:val="003B4CE1"/>
    <w:rsid w:val="003B5ECD"/>
    <w:rsid w:val="003B6A52"/>
    <w:rsid w:val="003C2960"/>
    <w:rsid w:val="003C3C4F"/>
    <w:rsid w:val="003C44C8"/>
    <w:rsid w:val="003D37AA"/>
    <w:rsid w:val="003E09DA"/>
    <w:rsid w:val="003E3C2E"/>
    <w:rsid w:val="003E686A"/>
    <w:rsid w:val="003E6887"/>
    <w:rsid w:val="003F1049"/>
    <w:rsid w:val="003F5153"/>
    <w:rsid w:val="004033C7"/>
    <w:rsid w:val="004043DF"/>
    <w:rsid w:val="004105DB"/>
    <w:rsid w:val="004117FE"/>
    <w:rsid w:val="0041220F"/>
    <w:rsid w:val="00417999"/>
    <w:rsid w:val="004231CE"/>
    <w:rsid w:val="00423778"/>
    <w:rsid w:val="00432C15"/>
    <w:rsid w:val="00433690"/>
    <w:rsid w:val="00440B5B"/>
    <w:rsid w:val="00451E43"/>
    <w:rsid w:val="00460A89"/>
    <w:rsid w:val="00471E5A"/>
    <w:rsid w:val="00472C65"/>
    <w:rsid w:val="00480AB9"/>
    <w:rsid w:val="00481D58"/>
    <w:rsid w:val="00482FF0"/>
    <w:rsid w:val="00485807"/>
    <w:rsid w:val="00487604"/>
    <w:rsid w:val="00491809"/>
    <w:rsid w:val="0049367A"/>
    <w:rsid w:val="00496771"/>
    <w:rsid w:val="004A4CA8"/>
    <w:rsid w:val="004B18DD"/>
    <w:rsid w:val="004B632C"/>
    <w:rsid w:val="004C264D"/>
    <w:rsid w:val="004C4E81"/>
    <w:rsid w:val="004D187D"/>
    <w:rsid w:val="004D4238"/>
    <w:rsid w:val="004E05FC"/>
    <w:rsid w:val="004E0BB8"/>
    <w:rsid w:val="004E10A9"/>
    <w:rsid w:val="004E451D"/>
    <w:rsid w:val="004F29D9"/>
    <w:rsid w:val="00501500"/>
    <w:rsid w:val="005032F6"/>
    <w:rsid w:val="00503A4B"/>
    <w:rsid w:val="005078B2"/>
    <w:rsid w:val="00510314"/>
    <w:rsid w:val="00514039"/>
    <w:rsid w:val="00516194"/>
    <w:rsid w:val="005167F1"/>
    <w:rsid w:val="00520D92"/>
    <w:rsid w:val="0052380E"/>
    <w:rsid w:val="00523938"/>
    <w:rsid w:val="005243B8"/>
    <w:rsid w:val="00525C7D"/>
    <w:rsid w:val="0052634F"/>
    <w:rsid w:val="005271F0"/>
    <w:rsid w:val="00527E60"/>
    <w:rsid w:val="00531EA3"/>
    <w:rsid w:val="00533ADF"/>
    <w:rsid w:val="0053515E"/>
    <w:rsid w:val="0054210E"/>
    <w:rsid w:val="00553AF0"/>
    <w:rsid w:val="0055487D"/>
    <w:rsid w:val="005558A2"/>
    <w:rsid w:val="00556ECC"/>
    <w:rsid w:val="005617D9"/>
    <w:rsid w:val="0056369C"/>
    <w:rsid w:val="0056798D"/>
    <w:rsid w:val="0057094B"/>
    <w:rsid w:val="00570B6E"/>
    <w:rsid w:val="00594112"/>
    <w:rsid w:val="00597629"/>
    <w:rsid w:val="005A515A"/>
    <w:rsid w:val="005B1F59"/>
    <w:rsid w:val="005B21FB"/>
    <w:rsid w:val="005B4C7E"/>
    <w:rsid w:val="005C467F"/>
    <w:rsid w:val="005D3BB8"/>
    <w:rsid w:val="005D70C0"/>
    <w:rsid w:val="005E35CD"/>
    <w:rsid w:val="005E48B9"/>
    <w:rsid w:val="005E4E55"/>
    <w:rsid w:val="005E79C7"/>
    <w:rsid w:val="005F0A71"/>
    <w:rsid w:val="005F1A4C"/>
    <w:rsid w:val="005F4B6B"/>
    <w:rsid w:val="005F7763"/>
    <w:rsid w:val="005F78A9"/>
    <w:rsid w:val="005F7F17"/>
    <w:rsid w:val="006075F9"/>
    <w:rsid w:val="006076AF"/>
    <w:rsid w:val="00610324"/>
    <w:rsid w:val="006132CD"/>
    <w:rsid w:val="006235AF"/>
    <w:rsid w:val="00635BDF"/>
    <w:rsid w:val="0064270B"/>
    <w:rsid w:val="006478AF"/>
    <w:rsid w:val="00653442"/>
    <w:rsid w:val="00661FAF"/>
    <w:rsid w:val="00662315"/>
    <w:rsid w:val="0066675C"/>
    <w:rsid w:val="006715F6"/>
    <w:rsid w:val="00672DF3"/>
    <w:rsid w:val="00672FD7"/>
    <w:rsid w:val="00673FA4"/>
    <w:rsid w:val="00682D65"/>
    <w:rsid w:val="00685C9C"/>
    <w:rsid w:val="006A3039"/>
    <w:rsid w:val="006A412B"/>
    <w:rsid w:val="006A55BE"/>
    <w:rsid w:val="006A7D9C"/>
    <w:rsid w:val="006B2017"/>
    <w:rsid w:val="006B392E"/>
    <w:rsid w:val="006C01DD"/>
    <w:rsid w:val="006C3AD3"/>
    <w:rsid w:val="006D0E89"/>
    <w:rsid w:val="006D46D2"/>
    <w:rsid w:val="006E3C33"/>
    <w:rsid w:val="006E3CE3"/>
    <w:rsid w:val="006E6FFC"/>
    <w:rsid w:val="006F3960"/>
    <w:rsid w:val="006F3D10"/>
    <w:rsid w:val="006F5D02"/>
    <w:rsid w:val="00700B51"/>
    <w:rsid w:val="007029FC"/>
    <w:rsid w:val="0070317A"/>
    <w:rsid w:val="00703C32"/>
    <w:rsid w:val="00705E56"/>
    <w:rsid w:val="00724FF3"/>
    <w:rsid w:val="0073400E"/>
    <w:rsid w:val="00736A9C"/>
    <w:rsid w:val="00743DDC"/>
    <w:rsid w:val="00744D1C"/>
    <w:rsid w:val="00751428"/>
    <w:rsid w:val="007517E9"/>
    <w:rsid w:val="0075181B"/>
    <w:rsid w:val="007604F3"/>
    <w:rsid w:val="00760859"/>
    <w:rsid w:val="00770A71"/>
    <w:rsid w:val="00771D75"/>
    <w:rsid w:val="00775C9B"/>
    <w:rsid w:val="00777ADB"/>
    <w:rsid w:val="00791FB5"/>
    <w:rsid w:val="007B2710"/>
    <w:rsid w:val="007B589F"/>
    <w:rsid w:val="007C0567"/>
    <w:rsid w:val="007C063D"/>
    <w:rsid w:val="007C0FCD"/>
    <w:rsid w:val="007D1024"/>
    <w:rsid w:val="007D1490"/>
    <w:rsid w:val="007D290F"/>
    <w:rsid w:val="007E2E76"/>
    <w:rsid w:val="007E4639"/>
    <w:rsid w:val="007F0661"/>
    <w:rsid w:val="007F371F"/>
    <w:rsid w:val="007F44DC"/>
    <w:rsid w:val="007F635D"/>
    <w:rsid w:val="007F69C2"/>
    <w:rsid w:val="007F7259"/>
    <w:rsid w:val="00803BF3"/>
    <w:rsid w:val="00810DC9"/>
    <w:rsid w:val="00811554"/>
    <w:rsid w:val="008147D2"/>
    <w:rsid w:val="00814F01"/>
    <w:rsid w:val="008202AE"/>
    <w:rsid w:val="008231A2"/>
    <w:rsid w:val="008261CB"/>
    <w:rsid w:val="00831696"/>
    <w:rsid w:val="0083571B"/>
    <w:rsid w:val="008451D6"/>
    <w:rsid w:val="00854D8F"/>
    <w:rsid w:val="00857DCD"/>
    <w:rsid w:val="00863269"/>
    <w:rsid w:val="008758D4"/>
    <w:rsid w:val="00875AE2"/>
    <w:rsid w:val="00880BBE"/>
    <w:rsid w:val="008919DB"/>
    <w:rsid w:val="008A09AD"/>
    <w:rsid w:val="008A0A07"/>
    <w:rsid w:val="008A607A"/>
    <w:rsid w:val="008B1390"/>
    <w:rsid w:val="008B4171"/>
    <w:rsid w:val="008C188C"/>
    <w:rsid w:val="008C36F7"/>
    <w:rsid w:val="008C39DC"/>
    <w:rsid w:val="008C63F2"/>
    <w:rsid w:val="008D026A"/>
    <w:rsid w:val="008D4E9D"/>
    <w:rsid w:val="008E2145"/>
    <w:rsid w:val="008E2CAD"/>
    <w:rsid w:val="008E3283"/>
    <w:rsid w:val="008E3BCA"/>
    <w:rsid w:val="008E74C9"/>
    <w:rsid w:val="008F022C"/>
    <w:rsid w:val="008F2306"/>
    <w:rsid w:val="008F4301"/>
    <w:rsid w:val="008F47F0"/>
    <w:rsid w:val="008F4AC5"/>
    <w:rsid w:val="00903170"/>
    <w:rsid w:val="0090649D"/>
    <w:rsid w:val="00906961"/>
    <w:rsid w:val="009127ED"/>
    <w:rsid w:val="009159AF"/>
    <w:rsid w:val="009204A3"/>
    <w:rsid w:val="00922DF2"/>
    <w:rsid w:val="0092791D"/>
    <w:rsid w:val="009300CD"/>
    <w:rsid w:val="009309DF"/>
    <w:rsid w:val="00941243"/>
    <w:rsid w:val="009439CD"/>
    <w:rsid w:val="00951850"/>
    <w:rsid w:val="00965F81"/>
    <w:rsid w:val="009862B3"/>
    <w:rsid w:val="00992B4E"/>
    <w:rsid w:val="00993164"/>
    <w:rsid w:val="00995E0F"/>
    <w:rsid w:val="00996684"/>
    <w:rsid w:val="009A01AF"/>
    <w:rsid w:val="009B06EE"/>
    <w:rsid w:val="009B3939"/>
    <w:rsid w:val="009B502B"/>
    <w:rsid w:val="009B759F"/>
    <w:rsid w:val="009B7A90"/>
    <w:rsid w:val="009C0038"/>
    <w:rsid w:val="009D1867"/>
    <w:rsid w:val="009D2589"/>
    <w:rsid w:val="009D3603"/>
    <w:rsid w:val="009D3F35"/>
    <w:rsid w:val="009D4B32"/>
    <w:rsid w:val="009D74F9"/>
    <w:rsid w:val="009E09F5"/>
    <w:rsid w:val="009E1BA1"/>
    <w:rsid w:val="009E69F8"/>
    <w:rsid w:val="00A0153A"/>
    <w:rsid w:val="00A04109"/>
    <w:rsid w:val="00A04FB2"/>
    <w:rsid w:val="00A151D3"/>
    <w:rsid w:val="00A21FED"/>
    <w:rsid w:val="00A24E0D"/>
    <w:rsid w:val="00A36174"/>
    <w:rsid w:val="00A40CE7"/>
    <w:rsid w:val="00A419A1"/>
    <w:rsid w:val="00A54DCA"/>
    <w:rsid w:val="00A574F2"/>
    <w:rsid w:val="00A61D62"/>
    <w:rsid w:val="00A63D5B"/>
    <w:rsid w:val="00A6792F"/>
    <w:rsid w:val="00A750FE"/>
    <w:rsid w:val="00A76C37"/>
    <w:rsid w:val="00A93C4B"/>
    <w:rsid w:val="00AA6332"/>
    <w:rsid w:val="00AA75EA"/>
    <w:rsid w:val="00AB617B"/>
    <w:rsid w:val="00AC4C1E"/>
    <w:rsid w:val="00AC7127"/>
    <w:rsid w:val="00AD01FE"/>
    <w:rsid w:val="00AD070A"/>
    <w:rsid w:val="00AD0F77"/>
    <w:rsid w:val="00AD19BB"/>
    <w:rsid w:val="00AD464D"/>
    <w:rsid w:val="00AD57E5"/>
    <w:rsid w:val="00AD76F6"/>
    <w:rsid w:val="00AE02A0"/>
    <w:rsid w:val="00AE1707"/>
    <w:rsid w:val="00AF11D8"/>
    <w:rsid w:val="00AF2F07"/>
    <w:rsid w:val="00AF52E5"/>
    <w:rsid w:val="00AF7632"/>
    <w:rsid w:val="00B04BB6"/>
    <w:rsid w:val="00B07D3C"/>
    <w:rsid w:val="00B10570"/>
    <w:rsid w:val="00B14001"/>
    <w:rsid w:val="00B15721"/>
    <w:rsid w:val="00B15D55"/>
    <w:rsid w:val="00B15EAE"/>
    <w:rsid w:val="00B24BF4"/>
    <w:rsid w:val="00B25006"/>
    <w:rsid w:val="00B301FC"/>
    <w:rsid w:val="00B37C6E"/>
    <w:rsid w:val="00B40725"/>
    <w:rsid w:val="00B41FB0"/>
    <w:rsid w:val="00B443B6"/>
    <w:rsid w:val="00B50C47"/>
    <w:rsid w:val="00B50EDD"/>
    <w:rsid w:val="00B51154"/>
    <w:rsid w:val="00B570B4"/>
    <w:rsid w:val="00B60257"/>
    <w:rsid w:val="00B6592B"/>
    <w:rsid w:val="00B86828"/>
    <w:rsid w:val="00B904FA"/>
    <w:rsid w:val="00B90DB3"/>
    <w:rsid w:val="00B95E04"/>
    <w:rsid w:val="00BA231E"/>
    <w:rsid w:val="00BA61A8"/>
    <w:rsid w:val="00BA7B89"/>
    <w:rsid w:val="00BB292B"/>
    <w:rsid w:val="00BB461C"/>
    <w:rsid w:val="00BB5A91"/>
    <w:rsid w:val="00BB7182"/>
    <w:rsid w:val="00BC36F6"/>
    <w:rsid w:val="00BC3C90"/>
    <w:rsid w:val="00BD1CB0"/>
    <w:rsid w:val="00BD743F"/>
    <w:rsid w:val="00BD7AA0"/>
    <w:rsid w:val="00BE469F"/>
    <w:rsid w:val="00BE76B0"/>
    <w:rsid w:val="00BF560B"/>
    <w:rsid w:val="00C05AB6"/>
    <w:rsid w:val="00C0720B"/>
    <w:rsid w:val="00C07577"/>
    <w:rsid w:val="00C07B51"/>
    <w:rsid w:val="00C11BAE"/>
    <w:rsid w:val="00C1286A"/>
    <w:rsid w:val="00C134DA"/>
    <w:rsid w:val="00C14964"/>
    <w:rsid w:val="00C244BB"/>
    <w:rsid w:val="00C26EB2"/>
    <w:rsid w:val="00C325A2"/>
    <w:rsid w:val="00C34742"/>
    <w:rsid w:val="00C4076E"/>
    <w:rsid w:val="00C40D59"/>
    <w:rsid w:val="00C41E3F"/>
    <w:rsid w:val="00C4245B"/>
    <w:rsid w:val="00C53E5B"/>
    <w:rsid w:val="00C61339"/>
    <w:rsid w:val="00C64272"/>
    <w:rsid w:val="00C65974"/>
    <w:rsid w:val="00C65E11"/>
    <w:rsid w:val="00C72FF6"/>
    <w:rsid w:val="00C738EE"/>
    <w:rsid w:val="00C74A96"/>
    <w:rsid w:val="00C74B48"/>
    <w:rsid w:val="00C82705"/>
    <w:rsid w:val="00C952B1"/>
    <w:rsid w:val="00C979A4"/>
    <w:rsid w:val="00CA1EC1"/>
    <w:rsid w:val="00CA6D88"/>
    <w:rsid w:val="00CA6EAE"/>
    <w:rsid w:val="00CB2898"/>
    <w:rsid w:val="00CB2DA6"/>
    <w:rsid w:val="00CB6865"/>
    <w:rsid w:val="00CC0440"/>
    <w:rsid w:val="00CC1CF4"/>
    <w:rsid w:val="00CC4871"/>
    <w:rsid w:val="00CC5FC0"/>
    <w:rsid w:val="00CD3755"/>
    <w:rsid w:val="00CE6951"/>
    <w:rsid w:val="00CE74FF"/>
    <w:rsid w:val="00D016AE"/>
    <w:rsid w:val="00D036DB"/>
    <w:rsid w:val="00D0542A"/>
    <w:rsid w:val="00D12660"/>
    <w:rsid w:val="00D16DB9"/>
    <w:rsid w:val="00D209E0"/>
    <w:rsid w:val="00D23A7F"/>
    <w:rsid w:val="00D33B59"/>
    <w:rsid w:val="00D35806"/>
    <w:rsid w:val="00D4042B"/>
    <w:rsid w:val="00D4379C"/>
    <w:rsid w:val="00D44735"/>
    <w:rsid w:val="00D47B70"/>
    <w:rsid w:val="00D5109A"/>
    <w:rsid w:val="00D51C7D"/>
    <w:rsid w:val="00D6008A"/>
    <w:rsid w:val="00D647C3"/>
    <w:rsid w:val="00D807DF"/>
    <w:rsid w:val="00D839C4"/>
    <w:rsid w:val="00D84735"/>
    <w:rsid w:val="00D87E90"/>
    <w:rsid w:val="00D87FC5"/>
    <w:rsid w:val="00D94B31"/>
    <w:rsid w:val="00D94CCD"/>
    <w:rsid w:val="00D9689E"/>
    <w:rsid w:val="00DA4BFF"/>
    <w:rsid w:val="00DB71EA"/>
    <w:rsid w:val="00DC7C0B"/>
    <w:rsid w:val="00DD1C7F"/>
    <w:rsid w:val="00DE670A"/>
    <w:rsid w:val="00DF5909"/>
    <w:rsid w:val="00E018E3"/>
    <w:rsid w:val="00E03CF9"/>
    <w:rsid w:val="00E06952"/>
    <w:rsid w:val="00E072AC"/>
    <w:rsid w:val="00E11971"/>
    <w:rsid w:val="00E17E1E"/>
    <w:rsid w:val="00E2228C"/>
    <w:rsid w:val="00E229D2"/>
    <w:rsid w:val="00E27EC0"/>
    <w:rsid w:val="00E303FD"/>
    <w:rsid w:val="00E333FF"/>
    <w:rsid w:val="00E351A3"/>
    <w:rsid w:val="00E35BF7"/>
    <w:rsid w:val="00E426DD"/>
    <w:rsid w:val="00E4304C"/>
    <w:rsid w:val="00E44C72"/>
    <w:rsid w:val="00E4663B"/>
    <w:rsid w:val="00E46E37"/>
    <w:rsid w:val="00E61DAA"/>
    <w:rsid w:val="00E654FF"/>
    <w:rsid w:val="00E65CFB"/>
    <w:rsid w:val="00E6609D"/>
    <w:rsid w:val="00E66E39"/>
    <w:rsid w:val="00E7053F"/>
    <w:rsid w:val="00E773CB"/>
    <w:rsid w:val="00E80CBD"/>
    <w:rsid w:val="00E811AB"/>
    <w:rsid w:val="00E821A2"/>
    <w:rsid w:val="00E82EF3"/>
    <w:rsid w:val="00E83F80"/>
    <w:rsid w:val="00E917E7"/>
    <w:rsid w:val="00E92FC9"/>
    <w:rsid w:val="00E94370"/>
    <w:rsid w:val="00EA2C94"/>
    <w:rsid w:val="00EA52ED"/>
    <w:rsid w:val="00EB05E9"/>
    <w:rsid w:val="00EC24EF"/>
    <w:rsid w:val="00EC454E"/>
    <w:rsid w:val="00EC4656"/>
    <w:rsid w:val="00EC604A"/>
    <w:rsid w:val="00ED4629"/>
    <w:rsid w:val="00ED776B"/>
    <w:rsid w:val="00EE42B6"/>
    <w:rsid w:val="00EE5270"/>
    <w:rsid w:val="00EE59AA"/>
    <w:rsid w:val="00EF4BC5"/>
    <w:rsid w:val="00F01633"/>
    <w:rsid w:val="00F073BA"/>
    <w:rsid w:val="00F213CC"/>
    <w:rsid w:val="00F25D99"/>
    <w:rsid w:val="00F2635D"/>
    <w:rsid w:val="00F26EFD"/>
    <w:rsid w:val="00F333CC"/>
    <w:rsid w:val="00F35D78"/>
    <w:rsid w:val="00F42359"/>
    <w:rsid w:val="00F4587F"/>
    <w:rsid w:val="00F50C5C"/>
    <w:rsid w:val="00F50ED4"/>
    <w:rsid w:val="00F51A9C"/>
    <w:rsid w:val="00F55250"/>
    <w:rsid w:val="00F610F7"/>
    <w:rsid w:val="00F662D6"/>
    <w:rsid w:val="00F71C40"/>
    <w:rsid w:val="00F72F3A"/>
    <w:rsid w:val="00F73E96"/>
    <w:rsid w:val="00F77FDF"/>
    <w:rsid w:val="00F87651"/>
    <w:rsid w:val="00F90EF4"/>
    <w:rsid w:val="00F93903"/>
    <w:rsid w:val="00F95CBE"/>
    <w:rsid w:val="00FA3FE9"/>
    <w:rsid w:val="00FA56EB"/>
    <w:rsid w:val="00FA5E7C"/>
    <w:rsid w:val="00FA5F4C"/>
    <w:rsid w:val="00FA71FA"/>
    <w:rsid w:val="00FB48F8"/>
    <w:rsid w:val="00FB552A"/>
    <w:rsid w:val="00FB5BA7"/>
    <w:rsid w:val="00FB7A70"/>
    <w:rsid w:val="00FB7CD3"/>
    <w:rsid w:val="00FB7EA3"/>
    <w:rsid w:val="00FB7FE3"/>
    <w:rsid w:val="00FC4827"/>
    <w:rsid w:val="00FC6A60"/>
    <w:rsid w:val="00FD2EB8"/>
    <w:rsid w:val="00FD48F8"/>
    <w:rsid w:val="00FD794C"/>
    <w:rsid w:val="00FD7E8C"/>
    <w:rsid w:val="00FE55B8"/>
    <w:rsid w:val="00FE6F21"/>
    <w:rsid w:val="00FF11B9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4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Strniště</dc:creator>
  <cp:lastModifiedBy>Jiří Strniště</cp:lastModifiedBy>
  <cp:revision>3</cp:revision>
  <dcterms:created xsi:type="dcterms:W3CDTF">2014-07-28T13:38:00Z</dcterms:created>
  <dcterms:modified xsi:type="dcterms:W3CDTF">2014-07-28T14:25:00Z</dcterms:modified>
</cp:coreProperties>
</file>